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46" w:rsidRPr="00C855DF" w:rsidRDefault="00243246" w:rsidP="006F5740">
      <w:pPr>
        <w:widowControl/>
        <w:shd w:val="clear" w:color="auto" w:fill="FFFFFF"/>
        <w:suppressAutoHyphens/>
        <w:spacing w:before="0" w:after="0"/>
        <w:ind w:left="0" w:right="0"/>
        <w:rPr>
          <w:rFonts w:ascii="Calibri" w:eastAsia="SimSun" w:hAnsi="Calibri"/>
          <w:color w:val="auto"/>
          <w:lang w:eastAsia="ru-RU"/>
        </w:rPr>
      </w:pPr>
      <w:r w:rsidRPr="00C855DF">
        <w:rPr>
          <w:rFonts w:ascii="Times New Roman" w:eastAsia="SimSun" w:hAnsi="Times New Roman" w:cs="Times New Roman"/>
          <w:color w:val="auto"/>
          <w:lang w:eastAsia="ru-RU"/>
        </w:rPr>
        <w:t xml:space="preserve"> </w:t>
      </w:r>
    </w:p>
    <w:p w:rsidR="00243246" w:rsidRPr="00CE3613" w:rsidRDefault="00243246" w:rsidP="00CE3613">
      <w:pPr>
        <w:spacing w:before="0" w:after="0"/>
        <w:jc w:val="center"/>
        <w:rPr>
          <w:rFonts w:ascii="Times New Roman" w:eastAsia="SimSun" w:hAnsi="Times New Roman" w:cs="Times New Roman"/>
          <w:color w:val="auto"/>
          <w:lang w:eastAsia="ru-RU"/>
        </w:rPr>
      </w:pPr>
      <w:r w:rsidRPr="00C855DF">
        <w:rPr>
          <w:rFonts w:ascii="Times New Roman" w:eastAsia="SimSun" w:hAnsi="Times New Roman"/>
          <w:color w:val="auto"/>
          <w:lang w:eastAsia="ru-RU"/>
        </w:rPr>
        <w:tab/>
      </w:r>
      <w:r w:rsidRPr="00CE3613">
        <w:rPr>
          <w:rFonts w:ascii="Times New Roman" w:eastAsia="SimSun" w:hAnsi="Times New Roman" w:cs="Times New Roman"/>
          <w:color w:val="auto"/>
          <w:lang w:eastAsia="ru-RU"/>
        </w:rPr>
        <w:t xml:space="preserve">                                                                                         </w:t>
      </w:r>
    </w:p>
    <w:p w:rsidR="00243246" w:rsidRPr="00CE3613" w:rsidRDefault="00243246" w:rsidP="00CE3613">
      <w:pPr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РОССИЙСКАЯ ФЕДЕРАЦИЯ </w:t>
      </w:r>
    </w:p>
    <w:p w:rsidR="00243246" w:rsidRPr="00CE3613" w:rsidRDefault="00243246" w:rsidP="00CE3613">
      <w:pPr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АДМИНИСТРАЦИЯ  </w:t>
      </w:r>
    </w:p>
    <w:p w:rsidR="00243246" w:rsidRPr="00CE3613" w:rsidRDefault="00243246" w:rsidP="00CE3613">
      <w:pPr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ЛЕНИ</w:t>
      </w:r>
      <w:r w:rsidRPr="00CE3613">
        <w:rPr>
          <w:rFonts w:ascii="Times New Roman" w:hAnsi="Times New Roman" w:cs="Times New Roman"/>
          <w:color w:val="auto"/>
        </w:rPr>
        <w:t xml:space="preserve">НСКОГО СЕЛЬСОВЕТА  </w:t>
      </w:r>
    </w:p>
    <w:p w:rsidR="00243246" w:rsidRPr="00CE3613" w:rsidRDefault="00243246" w:rsidP="00CE3613">
      <w:pPr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КАСТОРЕНСКОГО  РАЙОНА  КУРСКОЙ ОБЛАСТИ</w:t>
      </w:r>
    </w:p>
    <w:p w:rsidR="00243246" w:rsidRPr="00CE3613" w:rsidRDefault="00243246" w:rsidP="00CE3613">
      <w:pPr>
        <w:spacing w:after="0"/>
        <w:ind w:left="0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ПОСТАНОВЛЕНИЕ</w:t>
      </w:r>
    </w:p>
    <w:p w:rsidR="00243246" w:rsidRPr="00CE3613" w:rsidRDefault="00243246" w:rsidP="00CE3613">
      <w:pPr>
        <w:spacing w:after="0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 xml:space="preserve">24 января </w:t>
      </w:r>
      <w:r w:rsidRPr="00CE3613">
        <w:rPr>
          <w:rFonts w:ascii="Times New Roman" w:hAnsi="Times New Roman" w:cs="Times New Roman"/>
          <w:color w:val="auto"/>
        </w:rPr>
        <w:t xml:space="preserve">2024 года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</w:rPr>
        <w:t>7</w:t>
      </w:r>
    </w:p>
    <w:p w:rsidR="00243246" w:rsidRPr="00CE3613" w:rsidRDefault="00243246" w:rsidP="00CE3613">
      <w:pPr>
        <w:widowControl/>
        <w:suppressAutoHyphens/>
        <w:spacing w:before="0" w:after="0"/>
        <w:ind w:left="0" w:right="0"/>
        <w:rPr>
          <w:rFonts w:ascii="Times New Roman" w:eastAsia="SimSun" w:hAnsi="Times New Roman"/>
          <w:color w:val="auto"/>
          <w:lang w:eastAsia="ru-RU"/>
        </w:rPr>
      </w:pPr>
    </w:p>
    <w:p w:rsidR="00243246" w:rsidRPr="00CE3613" w:rsidRDefault="00243246" w:rsidP="00CE3613">
      <w:pPr>
        <w:pStyle w:val="BodyText"/>
        <w:spacing w:after="0"/>
        <w:ind w:left="0" w:right="0" w:firstLine="567"/>
        <w:jc w:val="both"/>
        <w:rPr>
          <w:color w:val="auto"/>
        </w:rPr>
      </w:pPr>
    </w:p>
    <w:p w:rsidR="00243246" w:rsidRPr="00CE3613" w:rsidRDefault="00243246" w:rsidP="00CE3613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3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Порядка </w:t>
      </w:r>
    </w:p>
    <w:p w:rsidR="00243246" w:rsidRPr="00CE3613" w:rsidRDefault="00243246" w:rsidP="00CE3613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3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формирования  и утверждения перечня объектов,  </w:t>
      </w:r>
    </w:p>
    <w:p w:rsidR="00243246" w:rsidRPr="00CE3613" w:rsidRDefault="00243246" w:rsidP="00CE3613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3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отношении которых планируется заключение  концессионных соглашений,  </w:t>
      </w:r>
    </w:p>
    <w:p w:rsidR="00243246" w:rsidRPr="00CE3613" w:rsidRDefault="00243246" w:rsidP="00CE3613">
      <w:pPr>
        <w:pStyle w:val="Heading1"/>
        <w:spacing w:before="0" w:after="0"/>
        <w:ind w:left="0" w:right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361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 Порядка принятия решений о заключении  концессионных соглашений</w:t>
      </w:r>
    </w:p>
    <w:p w:rsidR="00243246" w:rsidRPr="00CE3613" w:rsidRDefault="00243246" w:rsidP="00CE3613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            В соответствии с Федеральным законом от 21.07.2005 № 115-ФЗ «О концессионных соглашениях», Уставом муниципального образования «</w:t>
      </w:r>
      <w:r>
        <w:rPr>
          <w:rFonts w:ascii="Times New Roman" w:hAnsi="Times New Roman" w:cs="Times New Roman"/>
          <w:color w:val="auto"/>
        </w:rPr>
        <w:t>Ленинский</w:t>
      </w:r>
      <w:r w:rsidRPr="00CE3613">
        <w:rPr>
          <w:rFonts w:ascii="Times New Roman" w:hAnsi="Times New Roman" w:cs="Times New Roman"/>
          <w:color w:val="auto"/>
        </w:rPr>
        <w:t xml:space="preserve">   сельсовет» Касторенского  района Курской области, в целях обеспечения взаимодействия и координации деятельности Администрации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района Курской области при подготовке концессионных соглашений и эффективного использования имущества, находящегося в собственности муниципального образования  «</w:t>
      </w:r>
      <w:r>
        <w:rPr>
          <w:rFonts w:ascii="Times New Roman" w:hAnsi="Times New Roman" w:cs="Times New Roman"/>
          <w:color w:val="auto"/>
        </w:rPr>
        <w:t>Ленинский</w:t>
      </w:r>
      <w:r w:rsidRPr="00CE3613">
        <w:rPr>
          <w:rFonts w:ascii="Times New Roman" w:hAnsi="Times New Roman" w:cs="Times New Roman"/>
          <w:color w:val="auto"/>
        </w:rPr>
        <w:t xml:space="preserve"> сельсовет» Касторенского  района Курской области, Администрация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 ПОСТАНОВЛЯЕТ:</w:t>
      </w: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          1. Утвердить Порядок формирования и утверждения перечня объектов, в отношении которых планируется заключение концессионных соглашений  (приложение 1).</w:t>
      </w: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         2. Утвердить Порядок принятия решений о заключении концессионных соглашений (приложение 2).</w:t>
      </w: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         3. Контроль за выполнением настоящего постановления оставляю за собой.</w:t>
      </w: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         4. Постановление вступает в силу с момента его подписания и подлежит  обнародованию и размещению на официальном сайте Администрации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района в информационно-телекоммуникационной сети «Интернет».</w:t>
      </w: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</w:t>
      </w: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CE3613">
        <w:rPr>
          <w:color w:val="auto"/>
        </w:rPr>
        <w:t xml:space="preserve"> </w:t>
      </w: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Глава </w:t>
      </w: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А. М. Лохматов</w:t>
      </w:r>
      <w:r w:rsidRPr="00CE3613">
        <w:rPr>
          <w:rFonts w:ascii="Times New Roman" w:hAnsi="Times New Roman" w:cs="Times New Roman"/>
          <w:color w:val="auto"/>
        </w:rPr>
        <w:t xml:space="preserve"> </w:t>
      </w:r>
    </w:p>
    <w:p w:rsidR="00243246" w:rsidRPr="00CE3613" w:rsidRDefault="00243246" w:rsidP="00CE3613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</w:t>
      </w:r>
    </w:p>
    <w:p w:rsidR="00243246" w:rsidRPr="00CE3613" w:rsidRDefault="00243246" w:rsidP="00CE3613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</w:t>
      </w:r>
    </w:p>
    <w:p w:rsidR="00243246" w:rsidRPr="00CE3613" w:rsidRDefault="00243246" w:rsidP="00CE3613">
      <w:pPr>
        <w:pStyle w:val="BodyText"/>
        <w:spacing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widowControl/>
        <w:suppressAutoHyphens/>
        <w:spacing w:before="0" w:after="0"/>
        <w:ind w:left="0" w:right="0"/>
        <w:rPr>
          <w:rFonts w:ascii="Times New Roman" w:eastAsia="SimSun" w:hAnsi="Times New Roman"/>
          <w:color w:val="auto"/>
          <w:lang w:eastAsia="ru-RU"/>
        </w:rPr>
      </w:pPr>
    </w:p>
    <w:p w:rsidR="00243246" w:rsidRPr="00CE3613" w:rsidRDefault="00243246" w:rsidP="00CE3613">
      <w:pPr>
        <w:pStyle w:val="BodyText"/>
        <w:spacing w:after="0"/>
        <w:ind w:left="0" w:right="0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Приложение 1</w:t>
      </w:r>
      <w:r w:rsidRPr="00CE3613">
        <w:rPr>
          <w:rFonts w:ascii="Times New Roman" w:hAnsi="Times New Roman" w:cs="Times New Roman"/>
          <w:color w:val="auto"/>
        </w:rPr>
        <w:br/>
        <w:t xml:space="preserve">к постановлению Администрации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Касторенского  района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Курской области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24.01</w:t>
      </w:r>
      <w:r w:rsidRPr="00CE3613">
        <w:rPr>
          <w:rFonts w:ascii="Times New Roman" w:hAnsi="Times New Roman" w:cs="Times New Roman"/>
          <w:color w:val="auto"/>
        </w:rPr>
        <w:t xml:space="preserve">.2024 г. № </w:t>
      </w:r>
      <w:r>
        <w:rPr>
          <w:rFonts w:ascii="Times New Roman" w:hAnsi="Times New Roman" w:cs="Times New Roman"/>
          <w:color w:val="auto"/>
        </w:rPr>
        <w:t>7</w:t>
      </w: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 </w:t>
      </w:r>
    </w:p>
    <w:p w:rsidR="00243246" w:rsidRPr="00CE3613" w:rsidRDefault="00243246" w:rsidP="00CE3613">
      <w:pPr>
        <w:pStyle w:val="BodyText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 Настоящий Порядок разработан в соответствии с Федеральным законом </w:t>
      </w:r>
      <w:hyperlink r:id="rId6">
        <w:r w:rsidRPr="00CE3613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 муниципального образования  «</w:t>
      </w:r>
      <w:r>
        <w:rPr>
          <w:rFonts w:ascii="Times New Roman" w:hAnsi="Times New Roman" w:cs="Times New Roman"/>
          <w:color w:val="auto"/>
        </w:rPr>
        <w:t>Ленинский</w:t>
      </w:r>
      <w:r w:rsidRPr="00CE3613">
        <w:rPr>
          <w:rFonts w:ascii="Times New Roman" w:hAnsi="Times New Roman" w:cs="Times New Roman"/>
          <w:color w:val="auto"/>
        </w:rPr>
        <w:t xml:space="preserve"> сельсовет» Касторенского  района Курской области (далее - объекты), в отношении которых планируется заключение концессионных соглашений (далее - Перечень).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2. Формирование проекта Перечня осуществляется администрацией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 (далее - Администрация), в соответствии с поступившими предложениями о включении в Перечень предлагаемых к передаче в концессию объектов.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2.2. Предложения направляются в Администрацию в срок до 1 декабря года, предшествующего году формирования Перечня, по форме, указанной в приложении к настоящему Порядку.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Приложение к Порядку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формирования и утверждения перечня объектов,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в отношении</w:t>
      </w:r>
      <w:bookmarkStart w:id="0" w:name="_GoBack"/>
      <w:bookmarkEnd w:id="0"/>
      <w:r w:rsidRPr="00CE3613">
        <w:rPr>
          <w:rFonts w:ascii="Times New Roman" w:hAnsi="Times New Roman" w:cs="Times New Roman"/>
          <w:color w:val="auto"/>
        </w:rPr>
        <w:t xml:space="preserve"> которых планируется 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:rsidR="00243246" w:rsidRPr="00CE3613" w:rsidRDefault="00243246" w:rsidP="00CE3613">
      <w:pPr>
        <w:pStyle w:val="BodyText"/>
        <w:ind w:left="0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E3613">
        <w:rPr>
          <w:rFonts w:ascii="Times New Roman" w:hAnsi="Times New Roman" w:cs="Times New Roman"/>
          <w:sz w:val="24"/>
          <w:szCs w:val="24"/>
        </w:rPr>
        <w:t xml:space="preserve">ФОРМА  </w:t>
      </w:r>
    </w:p>
    <w:p w:rsidR="00243246" w:rsidRPr="00CE3613" w:rsidRDefault="00243246" w:rsidP="00CE36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E3613">
        <w:rPr>
          <w:rFonts w:ascii="Times New Roman" w:hAnsi="Times New Roman" w:cs="Times New Roman"/>
          <w:sz w:val="24"/>
          <w:szCs w:val="24"/>
        </w:rPr>
        <w:t>перечня  объектов, в отношении которых планируется заключение концессионных соглашений  в 2024 году</w:t>
      </w:r>
    </w:p>
    <w:p w:rsidR="00243246" w:rsidRPr="00CE3613" w:rsidRDefault="00243246" w:rsidP="00CE36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1954"/>
        <w:gridCol w:w="1155"/>
        <w:gridCol w:w="1096"/>
        <w:gridCol w:w="1192"/>
        <w:gridCol w:w="1360"/>
        <w:gridCol w:w="1504"/>
        <w:gridCol w:w="1701"/>
      </w:tblGrid>
      <w:tr w:rsidR="00243246" w:rsidRPr="00CE3613">
        <w:tc>
          <w:tcPr>
            <w:tcW w:w="486" w:type="dxa"/>
          </w:tcPr>
          <w:p w:rsidR="00243246" w:rsidRPr="00CE3613" w:rsidRDefault="00243246" w:rsidP="00CE3613">
            <w:pPr>
              <w:pStyle w:val="BodyText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954" w:type="dxa"/>
          </w:tcPr>
          <w:p w:rsidR="00243246" w:rsidRPr="00CE3613" w:rsidRDefault="00243246" w:rsidP="00CE3613">
            <w:pPr>
              <w:spacing w:before="0"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  <w:p w:rsidR="00243246" w:rsidRPr="00CE3613" w:rsidRDefault="00243246" w:rsidP="00CE3613">
            <w:pPr>
              <w:pStyle w:val="BodyText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объекта</w:t>
            </w:r>
          </w:p>
        </w:tc>
        <w:tc>
          <w:tcPr>
            <w:tcW w:w="1155" w:type="dxa"/>
          </w:tcPr>
          <w:p w:rsidR="00243246" w:rsidRPr="00CE3613" w:rsidRDefault="00243246" w:rsidP="00CE3613">
            <w:pPr>
              <w:pStyle w:val="BodyText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объекта</w:t>
            </w:r>
          </w:p>
        </w:tc>
        <w:tc>
          <w:tcPr>
            <w:tcW w:w="1096" w:type="dxa"/>
          </w:tcPr>
          <w:p w:rsidR="00243246" w:rsidRPr="00CE3613" w:rsidRDefault="00243246" w:rsidP="00CE3613">
            <w:pPr>
              <w:spacing w:before="0" w:after="0"/>
              <w:ind w:left="0" w:right="0" w:hanging="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</w:t>
            </w:r>
          </w:p>
          <w:p w:rsidR="00243246" w:rsidRPr="00CE3613" w:rsidRDefault="00243246" w:rsidP="00CE3613">
            <w:pPr>
              <w:pStyle w:val="BodyText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ввода</w:t>
            </w:r>
          </w:p>
        </w:tc>
        <w:tc>
          <w:tcPr>
            <w:tcW w:w="1192" w:type="dxa"/>
          </w:tcPr>
          <w:p w:rsidR="00243246" w:rsidRPr="00CE3613" w:rsidRDefault="00243246" w:rsidP="00CE361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Площадь объекта</w:t>
            </w:r>
          </w:p>
          <w:p w:rsidR="00243246" w:rsidRPr="00CE3613" w:rsidRDefault="00243246" w:rsidP="00CE361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кв.м</w:t>
            </w:r>
          </w:p>
        </w:tc>
        <w:tc>
          <w:tcPr>
            <w:tcW w:w="1360" w:type="dxa"/>
          </w:tcPr>
          <w:p w:rsidR="00243246" w:rsidRPr="00CE3613" w:rsidRDefault="00243246" w:rsidP="00CE3613">
            <w:pPr>
              <w:pStyle w:val="BodyText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504" w:type="dxa"/>
          </w:tcPr>
          <w:p w:rsidR="00243246" w:rsidRPr="00CE3613" w:rsidRDefault="00243246" w:rsidP="00CE3613">
            <w:pPr>
              <w:spacing w:before="0" w:after="0"/>
              <w:ind w:left="0" w:right="0" w:firstLine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Кадастровый номер</w:t>
            </w:r>
          </w:p>
          <w:p w:rsidR="00243246" w:rsidRPr="00CE3613" w:rsidRDefault="00243246" w:rsidP="00CE3613">
            <w:pPr>
              <w:pStyle w:val="BodyText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243246" w:rsidRPr="00CE3613" w:rsidRDefault="00243246" w:rsidP="00CE3613">
            <w:pPr>
              <w:pStyle w:val="BodyText"/>
              <w:spacing w:after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361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Документ, удостоверяющий право муниципальной  собственности на объект</w:t>
            </w:r>
          </w:p>
        </w:tc>
      </w:tr>
      <w:tr w:rsidR="00243246" w:rsidRPr="00CE3613">
        <w:tc>
          <w:tcPr>
            <w:tcW w:w="486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4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5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6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2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0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04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243246" w:rsidRPr="00CE3613" w:rsidRDefault="00243246" w:rsidP="00CE3613">
            <w:pPr>
              <w:pStyle w:val="BodyText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43246" w:rsidRPr="00CE3613" w:rsidRDefault="00243246" w:rsidP="00CE3613">
      <w:pPr>
        <w:pStyle w:val="BodyTex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pStyle w:val="BodyText"/>
        <w:ind w:left="0"/>
        <w:rPr>
          <w:color w:val="auto"/>
        </w:rPr>
      </w:pP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Приложение 2</w:t>
      </w:r>
      <w:r w:rsidRPr="00CE3613">
        <w:rPr>
          <w:rFonts w:ascii="Times New Roman" w:hAnsi="Times New Roman" w:cs="Times New Roman"/>
          <w:color w:val="auto"/>
        </w:rPr>
        <w:br/>
        <w:t xml:space="preserve">к постановлению Администрации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Касторенского  района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Курской области </w:t>
      </w:r>
    </w:p>
    <w:p w:rsidR="00243246" w:rsidRPr="00CE3613" w:rsidRDefault="00243246" w:rsidP="00CE3613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24.01</w:t>
      </w:r>
      <w:r w:rsidRPr="00CE3613">
        <w:rPr>
          <w:rFonts w:ascii="Times New Roman" w:hAnsi="Times New Roman" w:cs="Times New Roman"/>
          <w:color w:val="auto"/>
        </w:rPr>
        <w:t xml:space="preserve">.2024 г. № </w:t>
      </w:r>
      <w:r>
        <w:rPr>
          <w:rFonts w:ascii="Times New Roman" w:hAnsi="Times New Roman" w:cs="Times New Roman"/>
          <w:color w:val="auto"/>
        </w:rPr>
        <w:t>7</w:t>
      </w:r>
    </w:p>
    <w:p w:rsidR="00243246" w:rsidRPr="00CE3613" w:rsidRDefault="00243246" w:rsidP="00CE3613">
      <w:pPr>
        <w:pStyle w:val="BodyText"/>
        <w:ind w:left="0" w:right="-1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ПОРЯДОК</w:t>
      </w: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принятия решений о заключении концессионных соглашений 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1.Общие положения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7">
        <w:r w:rsidRPr="00CE3613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E3613">
        <w:rPr>
          <w:rFonts w:ascii="Times New Roman" w:hAnsi="Times New Roman" w:cs="Times New Roman"/>
          <w:color w:val="auto"/>
        </w:rPr>
        <w:t xml:space="preserve">, Федеральным законом от </w:t>
      </w:r>
      <w:hyperlink r:id="rId8">
        <w:r w:rsidRPr="00CE3613">
          <w:rPr>
            <w:rFonts w:ascii="Times New Roman" w:hAnsi="Times New Roman" w:cs="Times New Roman"/>
            <w:color w:val="auto"/>
          </w:rPr>
          <w:t>21.07.2005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1.2. В настоящем Порядке применяются понятия и термины, установленные Федеральным законом от </w:t>
      </w:r>
      <w:hyperlink r:id="rId9">
        <w:r w:rsidRPr="00CE3613">
          <w:rPr>
            <w:rFonts w:ascii="Times New Roman" w:hAnsi="Times New Roman" w:cs="Times New Roman"/>
            <w:color w:val="auto"/>
          </w:rPr>
          <w:t>21.07.2005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соглашениях", иными действующими нормативными правовыми актами.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1.3. Принимает решение о заключении концессионного соглашения и заключает концессионное соглашение от имени муниципального образования «</w:t>
      </w:r>
      <w:r>
        <w:rPr>
          <w:rFonts w:ascii="Times New Roman" w:hAnsi="Times New Roman" w:cs="Times New Roman"/>
          <w:color w:val="auto"/>
        </w:rPr>
        <w:t>Ленинский</w:t>
      </w:r>
      <w:r w:rsidRPr="00CE3613">
        <w:rPr>
          <w:rFonts w:ascii="Times New Roman" w:hAnsi="Times New Roman" w:cs="Times New Roman"/>
          <w:color w:val="auto"/>
        </w:rPr>
        <w:t xml:space="preserve"> сельсовет» Касторенского  района Курской  области   Администрация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1.5. Инициаторами заключения концессионного соглашения являются  как Администрация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области, так и лица, отвечающие требованиям Федерального закона </w:t>
      </w:r>
      <w:hyperlink r:id="rId10">
        <w:r w:rsidRPr="00CE3613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11">
        <w:r w:rsidRPr="00CE3613">
          <w:rPr>
            <w:rFonts w:ascii="Times New Roman" w:hAnsi="Times New Roman" w:cs="Times New Roman"/>
            <w:color w:val="auto"/>
          </w:rPr>
          <w:t>21.05.2005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 (далее - инициатор).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2">
        <w:r w:rsidRPr="00CE3613">
          <w:rPr>
            <w:rFonts w:ascii="Times New Roman" w:hAnsi="Times New Roman" w:cs="Times New Roman"/>
            <w:color w:val="auto"/>
          </w:rPr>
          <w:t>21.07.2005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отношениях", определяется концессионным соглашением.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3">
        <w:r w:rsidRPr="00CE3613">
          <w:rPr>
            <w:rFonts w:ascii="Times New Roman" w:hAnsi="Times New Roman" w:cs="Times New Roman"/>
            <w:color w:val="auto"/>
          </w:rPr>
          <w:t>Гражданским кодексом Российской Федерации</w:t>
        </w:r>
      </w:hyperlink>
      <w:r w:rsidRPr="00CE3613">
        <w:rPr>
          <w:rFonts w:ascii="Times New Roman" w:hAnsi="Times New Roman" w:cs="Times New Roman"/>
          <w:color w:val="auto"/>
        </w:rPr>
        <w:t xml:space="preserve"> и Федеральным законом </w:t>
      </w:r>
      <w:hyperlink r:id="rId14">
        <w:r w:rsidRPr="00CE3613">
          <w:rPr>
            <w:rFonts w:ascii="Times New Roman" w:hAnsi="Times New Roman" w:cs="Times New Roman"/>
            <w:color w:val="auto"/>
          </w:rPr>
          <w:t>от 21.07.2005 №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 xml:space="preserve">2. Организация подготовки и принятия решения о передаче объекта в концессию по инициативе Администрации  </w:t>
      </w:r>
      <w:r>
        <w:rPr>
          <w:rFonts w:ascii="Times New Roman" w:hAnsi="Times New Roman" w:cs="Times New Roman"/>
          <w:b/>
          <w:bCs/>
          <w:color w:val="auto"/>
        </w:rPr>
        <w:t>Ленинского</w:t>
      </w:r>
      <w:r w:rsidRPr="00CE3613">
        <w:rPr>
          <w:rFonts w:ascii="Times New Roman" w:hAnsi="Times New Roman" w:cs="Times New Roman"/>
          <w:b/>
          <w:bCs/>
          <w:color w:val="auto"/>
        </w:rPr>
        <w:t xml:space="preserve"> сельсовета Касторенского  района </w:t>
      </w: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Курской области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2.1. Инициатор подает заявку с предложением рассмотреть имущество в качестве объекта концессионного соглашения.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К заявке прилагаются документы, содержащие следующую информацию: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а) технико-экономическое обоснование передачи имущества в концессию;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б) предполагаемый объем инвестиций в создание и (или) реконструкцию объекта концессионного соглашения;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в) срок концессионного соглашения, в том числе срок окупаемости предполагаемых инвестиций;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2.2 В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 в концессию.    </w:t>
      </w:r>
      <w:r w:rsidRPr="00CE3613">
        <w:rPr>
          <w:rFonts w:ascii="Times New Roman" w:hAnsi="Times New Roman" w:cs="Times New Roman"/>
          <w:color w:val="auto"/>
        </w:rPr>
        <w:br/>
        <w:t xml:space="preserve">         2.3. Заключение о возможности и целесообразности передачи в концессию имущества, право собственности на которое принадлежит муниципальному образованию, принимается решением рабочей группы на основании оценок возможности и целесообразности передачи имущества в концессию. Дата и время заседания рабочей группы назначается Администрацией в срок не позднее 14 дней от даты, указанной в пункте 2.2.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2.4. При принятии решения о возможности и целесообразности передачи имущества, право собственности на которое принадлежит муниципальному образованию, в концессию готовится проект постановления Администрации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о заключении концессионного соглашения.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2.5. Постановление Администрации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 о заключении концессионного соглашения должно содержать: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1) условия концессионного соглашения в соответствии со статьей 10 Федерального закона от </w:t>
      </w:r>
      <w:hyperlink r:id="rId15">
        <w:r w:rsidRPr="00CE3613">
          <w:rPr>
            <w:rFonts w:ascii="Times New Roman" w:hAnsi="Times New Roman" w:cs="Times New Roman"/>
            <w:color w:val="auto"/>
          </w:rPr>
          <w:t>21.07.2005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соглашениях";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2) критерии конкурса и параметры критериев конкурса;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3) вид конкурса (открытый конкурс или закрытый конкурс);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4) перечень лиц, которым направляются приглашения принять участие в конкурсе, в случае проведения закрытого конкурса;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2.6. Постановлением Администрации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2.7. Администрация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6">
        <w:r w:rsidRPr="00CE3613">
          <w:rPr>
            <w:rFonts w:ascii="Times New Roman" w:hAnsi="Times New Roman" w:cs="Times New Roman"/>
            <w:color w:val="auto"/>
          </w:rPr>
          <w:t>21.07.2005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2.8. По результатам конкурса заключается концессионное соглашение.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Default="00243246" w:rsidP="00CE3613">
      <w:pPr>
        <w:keepNext/>
        <w:spacing w:before="0" w:after="0"/>
        <w:ind w:left="0" w:right="0"/>
        <w:jc w:val="center"/>
        <w:outlineLvl w:val="2"/>
        <w:rPr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17">
        <w:r w:rsidRPr="00CE3613">
          <w:rPr>
            <w:rFonts w:ascii="Times New Roman" w:hAnsi="Times New Roman" w:cs="Times New Roman"/>
            <w:b/>
            <w:bCs/>
            <w:color w:val="auto"/>
          </w:rPr>
          <w:t>21.05.2005 N 115-ФЗ</w:t>
        </w:r>
      </w:hyperlink>
      <w:r>
        <w:rPr>
          <w:color w:val="auto"/>
        </w:rPr>
        <w:t xml:space="preserve"> </w:t>
      </w:r>
      <w:hyperlink r:id="rId18">
        <w:r w:rsidRPr="00CE3613">
          <w:rPr>
            <w:rStyle w:val="Hyperlink"/>
            <w:rFonts w:cs="Arial"/>
            <w:color w:val="auto"/>
          </w:rPr>
          <w:t>http://dostup.scli.ru:8111/content/act/2dc2eb84-1baf-48dc-864f-a9a5c8df2df6.html</w:t>
        </w:r>
      </w:hyperlink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"О концессионных соглашениях"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3.1. Лица, соответствующие требованиям Федерального закона </w:t>
      </w:r>
      <w:hyperlink r:id="rId19">
        <w:r w:rsidRPr="00CE3613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0">
        <w:r w:rsidRPr="00CE3613">
          <w:rPr>
            <w:rFonts w:ascii="Times New Roman" w:hAnsi="Times New Roman" w:cs="Times New Roman"/>
            <w:color w:val="auto"/>
          </w:rPr>
          <w:t>21.05.2005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соглашениях", подают предложение о заключении концессионного соглашения в Администрацию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 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1">
        <w:r w:rsidRPr="00CE3613">
          <w:rPr>
            <w:rFonts w:ascii="Times New Roman" w:hAnsi="Times New Roman" w:cs="Times New Roman"/>
            <w:color w:val="auto"/>
          </w:rPr>
          <w:t>21.05.2005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3.2. Администрация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Администрации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 о: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Администрацией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2">
        <w:r w:rsidRPr="00CE3613">
          <w:rPr>
            <w:rFonts w:ascii="Times New Roman" w:hAnsi="Times New Roman" w:cs="Times New Roman"/>
            <w:color w:val="auto"/>
          </w:rPr>
          <w:t>21.05.2005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соглашениях". 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3">
        <w:r w:rsidRPr="00CE3613">
          <w:rPr>
            <w:rFonts w:ascii="Times New Roman" w:hAnsi="Times New Roman" w:cs="Times New Roman"/>
            <w:color w:val="auto"/>
          </w:rPr>
          <w:t xml:space="preserve">от </w:t>
        </w:r>
      </w:hyperlink>
      <w:hyperlink r:id="rId24">
        <w:r w:rsidRPr="00CE3613">
          <w:rPr>
            <w:rFonts w:ascii="Times New Roman" w:hAnsi="Times New Roman" w:cs="Times New Roman"/>
            <w:color w:val="auto"/>
          </w:rPr>
          <w:t>21.05.2005 N 115-ФЗ</w:t>
        </w:r>
      </w:hyperlink>
      <w:r w:rsidRPr="00CE3613">
        <w:rPr>
          <w:rFonts w:ascii="Times New Roman" w:hAnsi="Times New Roman" w:cs="Times New Roman"/>
          <w:color w:val="auto"/>
        </w:rPr>
        <w:t xml:space="preserve"> "О концессионных соглашениях".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E3613">
        <w:rPr>
          <w:rFonts w:ascii="Times New Roman" w:hAnsi="Times New Roman" w:cs="Times New Roman"/>
          <w:b/>
          <w:bCs/>
          <w:color w:val="auto"/>
        </w:rPr>
        <w:t>4. Контроль за исполнением концессионных соглашений</w:t>
      </w: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</w:p>
    <w:p w:rsidR="00243246" w:rsidRPr="00CE3613" w:rsidRDefault="00243246" w:rsidP="00CE3613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</w:rPr>
      </w:pPr>
      <w:r w:rsidRPr="00CE3613">
        <w:rPr>
          <w:rFonts w:ascii="Times New Roman" w:hAnsi="Times New Roman" w:cs="Times New Roman"/>
          <w:color w:val="auto"/>
        </w:rPr>
        <w:t xml:space="preserve">Контроль за исполнением концессионного соглашения осуществляет Администрация  </w:t>
      </w:r>
      <w:r>
        <w:rPr>
          <w:rFonts w:ascii="Times New Roman" w:hAnsi="Times New Roman" w:cs="Times New Roman"/>
          <w:color w:val="auto"/>
        </w:rPr>
        <w:t>Ленинского</w:t>
      </w:r>
      <w:r w:rsidRPr="00CE3613">
        <w:rPr>
          <w:rFonts w:ascii="Times New Roman" w:hAnsi="Times New Roman" w:cs="Times New Roman"/>
          <w:color w:val="auto"/>
        </w:rPr>
        <w:t xml:space="preserve"> сельсовета Касторенского  района Курской области, чьи полномочия распространяются на объект концессионного соглашения.</w:t>
      </w:r>
    </w:p>
    <w:p w:rsidR="00243246" w:rsidRPr="00C855DF" w:rsidRDefault="00243246" w:rsidP="00604F72">
      <w:pPr>
        <w:pStyle w:val="BodyText"/>
        <w:ind w:right="-1"/>
        <w:jc w:val="right"/>
        <w:rPr>
          <w:color w:val="auto"/>
        </w:rPr>
      </w:pPr>
    </w:p>
    <w:sectPr w:rsidR="00243246" w:rsidRPr="00C855DF" w:rsidSect="00C35086">
      <w:headerReference w:type="default" r:id="rId25"/>
      <w:pgSz w:w="11906" w:h="16838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246" w:rsidRDefault="00243246" w:rsidP="00A34F6C">
      <w:pPr>
        <w:spacing w:before="0" w:after="0"/>
      </w:pPr>
      <w:r>
        <w:separator/>
      </w:r>
    </w:p>
  </w:endnote>
  <w:endnote w:type="continuationSeparator" w:id="0">
    <w:p w:rsidR="00243246" w:rsidRDefault="00243246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246" w:rsidRDefault="00243246" w:rsidP="00A34F6C">
      <w:pPr>
        <w:spacing w:before="0" w:after="0"/>
      </w:pPr>
      <w:r>
        <w:separator/>
      </w:r>
    </w:p>
  </w:footnote>
  <w:footnote w:type="continuationSeparator" w:id="0">
    <w:p w:rsidR="00243246" w:rsidRDefault="00243246" w:rsidP="00A34F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46" w:rsidRPr="00A34F6C" w:rsidRDefault="00243246" w:rsidP="00A34F6C">
    <w:pPr>
      <w:pStyle w:val="Header"/>
      <w:jc w:val="right"/>
      <w:rPr>
        <w:rFonts w:ascii="Times New Roman" w:hAnsi="Times New Roman" w:cs="Times New Roman"/>
        <w:color w:val="auto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113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7FC"/>
    <w:rsid w:val="000009C2"/>
    <w:rsid w:val="00044814"/>
    <w:rsid w:val="000978D5"/>
    <w:rsid w:val="0015236B"/>
    <w:rsid w:val="00153F70"/>
    <w:rsid w:val="001B0432"/>
    <w:rsid w:val="00213EBF"/>
    <w:rsid w:val="00243246"/>
    <w:rsid w:val="002F165C"/>
    <w:rsid w:val="003106E1"/>
    <w:rsid w:val="00313A97"/>
    <w:rsid w:val="00331B21"/>
    <w:rsid w:val="003E4FCC"/>
    <w:rsid w:val="003E73E4"/>
    <w:rsid w:val="004A04B2"/>
    <w:rsid w:val="004E4B1C"/>
    <w:rsid w:val="00512B48"/>
    <w:rsid w:val="00530FD6"/>
    <w:rsid w:val="005354EA"/>
    <w:rsid w:val="0056530A"/>
    <w:rsid w:val="00596245"/>
    <w:rsid w:val="00604F72"/>
    <w:rsid w:val="00682970"/>
    <w:rsid w:val="00684E57"/>
    <w:rsid w:val="006D57DA"/>
    <w:rsid w:val="006F5740"/>
    <w:rsid w:val="006F77DB"/>
    <w:rsid w:val="0073643F"/>
    <w:rsid w:val="007977A6"/>
    <w:rsid w:val="007C1D85"/>
    <w:rsid w:val="008023B4"/>
    <w:rsid w:val="00850B8F"/>
    <w:rsid w:val="00856CDA"/>
    <w:rsid w:val="00950D64"/>
    <w:rsid w:val="009669E1"/>
    <w:rsid w:val="00967033"/>
    <w:rsid w:val="009A453C"/>
    <w:rsid w:val="009A7F50"/>
    <w:rsid w:val="00A104ED"/>
    <w:rsid w:val="00A34F6C"/>
    <w:rsid w:val="00A77FCA"/>
    <w:rsid w:val="00AB5F0B"/>
    <w:rsid w:val="00AC0AE0"/>
    <w:rsid w:val="00BB548F"/>
    <w:rsid w:val="00BD34DE"/>
    <w:rsid w:val="00C03FB0"/>
    <w:rsid w:val="00C24BFA"/>
    <w:rsid w:val="00C26AE9"/>
    <w:rsid w:val="00C35086"/>
    <w:rsid w:val="00C37427"/>
    <w:rsid w:val="00C817FC"/>
    <w:rsid w:val="00C855DF"/>
    <w:rsid w:val="00CB6704"/>
    <w:rsid w:val="00CE3613"/>
    <w:rsid w:val="00D00CDE"/>
    <w:rsid w:val="00D06974"/>
    <w:rsid w:val="00D14B80"/>
    <w:rsid w:val="00D73902"/>
    <w:rsid w:val="00E00587"/>
    <w:rsid w:val="00E1783F"/>
    <w:rsid w:val="00E1787D"/>
    <w:rsid w:val="00E252E5"/>
    <w:rsid w:val="00ED2BE1"/>
    <w:rsid w:val="00EE0C00"/>
    <w:rsid w:val="00EE1433"/>
    <w:rsid w:val="00F00918"/>
    <w:rsid w:val="00F16901"/>
    <w:rsid w:val="00F306E0"/>
    <w:rsid w:val="00F51BA8"/>
    <w:rsid w:val="00F77EBE"/>
    <w:rsid w:val="00F95492"/>
    <w:rsid w:val="00F95A74"/>
    <w:rsid w:val="00FB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iberation Sans" w:hAnsi="Arial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86"/>
    <w:pPr>
      <w:widowControl w:val="0"/>
      <w:spacing w:before="150" w:after="150"/>
      <w:ind w:left="150" w:right="150"/>
    </w:pPr>
    <w:rPr>
      <w:rFonts w:cs="Arial"/>
      <w:color w:val="000000"/>
      <w:sz w:val="24"/>
      <w:szCs w:val="24"/>
      <w:lang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C35086"/>
    <w:pPr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C35086"/>
    <w:pPr>
      <w:spacing w:before="200" w:after="120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4F72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4F72"/>
    <w:rPr>
      <w:rFonts w:ascii="Calibri Light" w:hAnsi="Calibri Light" w:cs="Calibri Light"/>
      <w:b/>
      <w:bCs/>
      <w:color w:val="4472C4"/>
      <w:sz w:val="21"/>
      <w:szCs w:val="21"/>
    </w:rPr>
  </w:style>
  <w:style w:type="character" w:customStyle="1" w:styleId="EndnoteCharacters">
    <w:name w:val="Endnote Characters"/>
    <w:uiPriority w:val="99"/>
    <w:rsid w:val="00C35086"/>
    <w:rPr>
      <w:rFonts w:cs="Times New Roman"/>
    </w:rPr>
  </w:style>
  <w:style w:type="character" w:customStyle="1" w:styleId="FootnoteCharacters">
    <w:name w:val="Footnote Characters"/>
    <w:uiPriority w:val="99"/>
    <w:rsid w:val="00C35086"/>
    <w:rPr>
      <w:rFonts w:cs="Times New Roman"/>
    </w:rPr>
  </w:style>
  <w:style w:type="character" w:customStyle="1" w:styleId="InternetLink">
    <w:name w:val="Internet Link"/>
    <w:uiPriority w:val="99"/>
    <w:rsid w:val="00C35086"/>
    <w:rPr>
      <w:rFonts w:cs="Times New Roman"/>
      <w:color w:val="000080"/>
      <w:u w:val="single"/>
    </w:rPr>
  </w:style>
  <w:style w:type="paragraph" w:customStyle="1" w:styleId="HorizontalLine">
    <w:name w:val="Horizontal Line"/>
    <w:basedOn w:val="Normal"/>
    <w:next w:val="BodyText"/>
    <w:uiPriority w:val="99"/>
    <w:rsid w:val="00C35086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EnvelopeReturn">
    <w:name w:val="envelope return"/>
    <w:basedOn w:val="Normal"/>
    <w:uiPriority w:val="99"/>
    <w:rsid w:val="00C35086"/>
    <w:rPr>
      <w:i/>
      <w:iCs/>
    </w:rPr>
  </w:style>
  <w:style w:type="paragraph" w:customStyle="1" w:styleId="TableContents">
    <w:name w:val="Table Contents"/>
    <w:basedOn w:val="BodyText"/>
    <w:uiPriority w:val="99"/>
    <w:rsid w:val="00C35086"/>
  </w:style>
  <w:style w:type="paragraph" w:styleId="Footer">
    <w:name w:val="footer"/>
    <w:basedOn w:val="Normal"/>
    <w:link w:val="FooterChar"/>
    <w:uiPriority w:val="99"/>
    <w:rsid w:val="00C35086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C35086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4F6C"/>
    <w:rPr>
      <w:rFonts w:cs="Times New Roman"/>
      <w:color w:val="000000"/>
    </w:rPr>
  </w:style>
  <w:style w:type="paragraph" w:customStyle="1" w:styleId="Index">
    <w:name w:val="Index"/>
    <w:basedOn w:val="Normal"/>
    <w:uiPriority w:val="99"/>
    <w:rsid w:val="00C35086"/>
    <w:pPr>
      <w:suppressLineNumbers/>
    </w:pPr>
  </w:style>
  <w:style w:type="paragraph" w:styleId="Caption">
    <w:name w:val="caption"/>
    <w:basedOn w:val="Normal"/>
    <w:uiPriority w:val="99"/>
    <w:qFormat/>
    <w:rsid w:val="00C35086"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  <w:uiPriority w:val="99"/>
    <w:rsid w:val="00C35086"/>
  </w:style>
  <w:style w:type="paragraph" w:styleId="BodyText">
    <w:name w:val="Body Text"/>
    <w:basedOn w:val="Normal"/>
    <w:link w:val="BodyTextChar"/>
    <w:uiPriority w:val="99"/>
    <w:rsid w:val="00C35086"/>
    <w:pPr>
      <w:spacing w:before="0"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uiPriority w:val="99"/>
    <w:rsid w:val="00C35086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Heading">
    <w:name w:val="Table Heading"/>
    <w:basedOn w:val="TableContents"/>
    <w:uiPriority w:val="99"/>
    <w:rsid w:val="00C35086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FB4155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34F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F6C"/>
    <w:rPr>
      <w:rFonts w:ascii="Tahoma" w:hAnsi="Tahoma" w:cs="Tahoma"/>
      <w:color w:val="000000"/>
      <w:sz w:val="14"/>
      <w:szCs w:val="14"/>
    </w:rPr>
  </w:style>
  <w:style w:type="paragraph" w:customStyle="1" w:styleId="ConsTitle">
    <w:name w:val="ConsTitle"/>
    <w:uiPriority w:val="99"/>
    <w:rsid w:val="00D73902"/>
    <w:pPr>
      <w:widowControl w:val="0"/>
      <w:autoSpaceDE w:val="0"/>
      <w:autoSpaceDN w:val="0"/>
      <w:adjustRightInd w:val="0"/>
      <w:ind w:right="19772"/>
    </w:pPr>
    <w:rPr>
      <w:rFonts w:eastAsia="Times New Roman" w:cs="Arial"/>
      <w:b/>
      <w:bCs/>
      <w:sz w:val="16"/>
      <w:szCs w:val="16"/>
    </w:rPr>
  </w:style>
  <w:style w:type="character" w:styleId="Hyperlink">
    <w:name w:val="Hyperlink"/>
    <w:basedOn w:val="DefaultParagraphFont"/>
    <w:uiPriority w:val="99"/>
    <w:rsid w:val="00CE36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ea4730e2-0388-4aee-bd89-0cbc2c54574b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ea4730e2-0388-4aee-bd89-0cbc2c54574b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2587</Words>
  <Characters>14750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805575</dc:creator>
  <cp:keywords/>
  <dc:description/>
  <cp:lastModifiedBy>Leninsky</cp:lastModifiedBy>
  <cp:revision>2</cp:revision>
  <cp:lastPrinted>2020-09-28T13:47:00Z</cp:lastPrinted>
  <dcterms:created xsi:type="dcterms:W3CDTF">2024-01-24T11:23:00Z</dcterms:created>
  <dcterms:modified xsi:type="dcterms:W3CDTF">2024-01-24T11:23:00Z</dcterms:modified>
</cp:coreProperties>
</file>